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709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Лабораторная работа </w:t>
      </w:r>
      <w:r>
        <w:rPr>
          <w:rFonts w:ascii="Segoe UI Symbol" w:hAnsi="Segoe UI Symbol" w:cs="Segoe UI Symbol" w:eastAsia="Segoe UI Symbol"/>
          <w:b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3</w:t>
      </w:r>
    </w:p>
    <w:p>
      <w:pPr>
        <w:spacing w:before="0" w:after="0" w:line="240"/>
        <w:ind w:right="0" w:left="0" w:firstLine="709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709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Основные лесообразующие древесные породы лесной зоны</w:t>
      </w:r>
    </w:p>
    <w:p>
      <w:pPr>
        <w:spacing w:before="0" w:after="0" w:line="240"/>
        <w:ind w:right="0" w:left="0" w:firstLine="709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Задания: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Составьте описание одной главной, одной второстепенной и одной подлесочной  древесной породы по следующему плану: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Cambria Math" w:hAnsi="Cambria Math" w:cs="Cambria Math" w:eastAsia="Cambria Math"/>
          <w:color w:val="auto"/>
          <w:spacing w:val="0"/>
          <w:position w:val="0"/>
          <w:sz w:val="24"/>
          <w:shd w:fill="auto" w:val="clear"/>
        </w:rPr>
        <w:t xml:space="preserve">−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ареал распространения;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Cambria Math" w:hAnsi="Cambria Math" w:cs="Cambria Math" w:eastAsia="Cambria Math"/>
          <w:color w:val="auto"/>
          <w:spacing w:val="0"/>
          <w:position w:val="0"/>
          <w:sz w:val="24"/>
          <w:shd w:fill="auto" w:val="clear"/>
        </w:rPr>
        <w:t xml:space="preserve">−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размеры взрослых деревьев (высота, диаметр); продолжительность жизни;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Cambria Math" w:hAnsi="Cambria Math" w:cs="Cambria Math" w:eastAsia="Cambria Math"/>
          <w:color w:val="auto"/>
          <w:spacing w:val="0"/>
          <w:position w:val="0"/>
          <w:sz w:val="24"/>
          <w:shd w:fill="auto" w:val="clear"/>
        </w:rPr>
        <w:t xml:space="preserve">−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характеристика кроны; расположение  листьев (хвои), их форма;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Cambria Math" w:hAnsi="Cambria Math" w:cs="Cambria Math" w:eastAsia="Cambria Math"/>
          <w:color w:val="auto"/>
          <w:spacing w:val="0"/>
          <w:position w:val="0"/>
          <w:sz w:val="24"/>
          <w:shd w:fill="auto" w:val="clear"/>
        </w:rPr>
        <w:t xml:space="preserve">−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особенности формы ствола; цвет и строение коры;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Cambria Math" w:hAnsi="Cambria Math" w:cs="Cambria Math" w:eastAsia="Cambria Math"/>
          <w:color w:val="auto"/>
          <w:spacing w:val="0"/>
          <w:position w:val="0"/>
          <w:sz w:val="24"/>
          <w:shd w:fill="auto" w:val="clear"/>
        </w:rPr>
        <w:t xml:space="preserve">−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корневая система;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Cambria Math" w:hAnsi="Cambria Math" w:cs="Cambria Math" w:eastAsia="Cambria Math"/>
          <w:color w:val="auto"/>
          <w:spacing w:val="0"/>
          <w:position w:val="0"/>
          <w:sz w:val="24"/>
          <w:shd w:fill="auto" w:val="clear"/>
        </w:rPr>
        <w:t xml:space="preserve">−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способы размножения; возраст и периодичность плодоношения; время цветения, период созревания плодов и семян, способ их распространения;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Cambria Math" w:hAnsi="Cambria Math" w:cs="Cambria Math" w:eastAsia="Cambria Math"/>
          <w:color w:val="auto"/>
          <w:spacing w:val="0"/>
          <w:position w:val="0"/>
          <w:sz w:val="24"/>
          <w:shd w:fill="auto" w:val="clear"/>
        </w:rPr>
        <w:t xml:space="preserve">−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отношение к свету, теплу, влаге, почве;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Cambria Math" w:hAnsi="Cambria Math" w:cs="Cambria Math" w:eastAsia="Cambria Math"/>
          <w:color w:val="auto"/>
          <w:spacing w:val="0"/>
          <w:position w:val="0"/>
          <w:sz w:val="24"/>
          <w:shd w:fill="auto" w:val="clear"/>
        </w:rPr>
        <w:t xml:space="preserve">−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особенности деревьев, которые необходимо учитывать при осуществлении лесозаготовительных работ;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Cambria Math" w:hAnsi="Cambria Math" w:cs="Cambria Math" w:eastAsia="Cambria Math"/>
          <w:color w:val="auto"/>
          <w:spacing w:val="0"/>
          <w:position w:val="0"/>
          <w:sz w:val="24"/>
          <w:shd w:fill="auto" w:val="clear"/>
        </w:rPr>
        <w:t xml:space="preserve">−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области применения древесины данных пород.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Варианты заданий представлены в табл.1.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Таблица 1 Варианты заданий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tbl>
      <w:tblPr/>
      <w:tblGrid>
        <w:gridCol w:w="1242"/>
        <w:gridCol w:w="3828"/>
        <w:gridCol w:w="4501"/>
      </w:tblGrid>
      <w:tr>
        <w:trPr>
          <w:trHeight w:val="1" w:hRule="atLeast"/>
          <w:jc w:val="center"/>
        </w:trPr>
        <w:tc>
          <w:tcPr>
            <w:tcW w:w="12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4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варианта</w:t>
            </w:r>
          </w:p>
        </w:tc>
        <w:tc>
          <w:tcPr>
            <w:tcW w:w="38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Породы</w:t>
            </w:r>
          </w:p>
        </w:tc>
        <w:tc>
          <w:tcPr>
            <w:tcW w:w="45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Характеристика пород</w:t>
            </w:r>
          </w:p>
        </w:tc>
      </w:tr>
      <w:tr>
        <w:trPr>
          <w:trHeight w:val="1" w:hRule="atLeast"/>
          <w:jc w:val="center"/>
        </w:trPr>
        <w:tc>
          <w:tcPr>
            <w:tcW w:w="12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38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Сосна обыкновенная, 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Липа мелколистная, 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Рябина обыкновенная</w:t>
            </w:r>
          </w:p>
        </w:tc>
        <w:tc>
          <w:tcPr>
            <w:tcW w:w="45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center"/>
        </w:trPr>
        <w:tc>
          <w:tcPr>
            <w:tcW w:w="12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38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Ель европейская, 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Вяз гладкий, 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Лещина обыкновенная</w:t>
            </w:r>
          </w:p>
        </w:tc>
        <w:tc>
          <w:tcPr>
            <w:tcW w:w="45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center"/>
        </w:trPr>
        <w:tc>
          <w:tcPr>
            <w:tcW w:w="12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</w:t>
            </w:r>
          </w:p>
        </w:tc>
        <w:tc>
          <w:tcPr>
            <w:tcW w:w="38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Пихта сибирская, 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Клен остролистный, 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Жимолость обыкновенная</w:t>
            </w:r>
          </w:p>
        </w:tc>
        <w:tc>
          <w:tcPr>
            <w:tcW w:w="45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center"/>
        </w:trPr>
        <w:tc>
          <w:tcPr>
            <w:tcW w:w="12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</w:t>
            </w:r>
          </w:p>
        </w:tc>
        <w:tc>
          <w:tcPr>
            <w:tcW w:w="38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Лиственница сибирская, 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Граб обыкновенный, 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Бересклет бородавчатый</w:t>
            </w:r>
          </w:p>
        </w:tc>
        <w:tc>
          <w:tcPr>
            <w:tcW w:w="45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center"/>
        </w:trPr>
        <w:tc>
          <w:tcPr>
            <w:tcW w:w="12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5</w:t>
            </w:r>
          </w:p>
        </w:tc>
        <w:tc>
          <w:tcPr>
            <w:tcW w:w="38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Сосна обыкновенная, 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Дуб черешчатый, 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Лещина обыкновенная </w:t>
            </w:r>
          </w:p>
        </w:tc>
        <w:tc>
          <w:tcPr>
            <w:tcW w:w="45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center"/>
        </w:trPr>
        <w:tc>
          <w:tcPr>
            <w:tcW w:w="12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6</w:t>
            </w:r>
          </w:p>
        </w:tc>
        <w:tc>
          <w:tcPr>
            <w:tcW w:w="38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Пихта сибирская, 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Береза повислая, 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Рябина обыкновенная </w:t>
            </w:r>
          </w:p>
        </w:tc>
        <w:tc>
          <w:tcPr>
            <w:tcW w:w="45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center"/>
        </w:trPr>
        <w:tc>
          <w:tcPr>
            <w:tcW w:w="12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7</w:t>
            </w:r>
          </w:p>
        </w:tc>
        <w:tc>
          <w:tcPr>
            <w:tcW w:w="38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Сосна обыкновенная, 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Береза пушистая, 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Крушина ломкая </w:t>
            </w:r>
          </w:p>
        </w:tc>
        <w:tc>
          <w:tcPr>
            <w:tcW w:w="45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709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Segoe UI Symbol" w:hAnsi="Segoe UI Symbol" w:cs="Segoe UI Symbol" w:eastAsia="Segoe UI Symbol"/>
          <w:b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3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Зертханалы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қ жұмыс</w:t>
      </w:r>
    </w:p>
    <w:p>
      <w:pPr>
        <w:spacing w:before="0" w:after="0" w:line="240"/>
        <w:ind w:right="0" w:left="0" w:firstLine="709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709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Орман аймағының негізгі орман түзуші ағаш түрлері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Тапсырмалар: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1.Келесі жоспарға сәйкес бір негізгі, бір қосалқы және бір ағаш ағашының сипаттамасын жасаңыз: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Cambria Math" w:hAnsi="Cambria Math" w:cs="Cambria Math" w:eastAsia="Cambria Math"/>
          <w:color w:val="auto"/>
          <w:spacing w:val="0"/>
          <w:position w:val="0"/>
          <w:sz w:val="24"/>
          <w:shd w:fill="auto" w:val="clear"/>
        </w:rPr>
        <w:t xml:space="preserve">−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таралу айма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ғы;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ересек ағаштардың өлшемдері (биіктігі, диаметрі); өмір сүру ұзақтығы;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тәждің сипаттамасы; жапырақтардың (инелердің) орналасуы, олардың пішіні;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 сабақ пішінінің ерекшеліктері; қабықтың түсі мен құрылымы;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тамыр жүйесі;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көбею әдістері; жеміс берудің жасы мен жиілігі; Гүлдену уақыты, жемістер мен тұқымдардың пісетін кезеңі, олардың таралу тәсілі;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жарыққа, жылуға, ылғалға, топыраққа қатынасы;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ағаш дайындау жұмыстарын жүзеге асыру кезінде ескерілуі қажет ағаштардың ерекшеліктері;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осы түрлердің ағашын қолдану салалары.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709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